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PŘÍLOHA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5"/>
          <w:b/>
          <w:bCs/>
        </w:rPr>
        <w:t>ÚZEMNÍ SAMOSPRÁVNÉ CELKY, SVAZKY OBCÍ, REGIONÁLNÍ RADY REGIONŮ SOUDRŽNOSTI</w:t>
      </w:r>
      <w:bookmarkEnd w:id="2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4" w:name="bookmark4"/>
      <w:r>
        <w:rPr>
          <w:rStyle w:val="CharStyle7"/>
          <w:b/>
          <w:bCs/>
        </w:rPr>
        <w:t>Za období: 12/2022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9"/>
        </w:rPr>
        <w:t>Obec Svatojanský Újezd; IČO 00578606; Svatojanský Újezd 54, Svatojanský Újezd, 507 81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9"/>
        </w:rPr>
        <w:t>Právní forma: Obec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9"/>
        </w:rPr>
        <w:t>Předmět činnosti: Všeobecné činnosti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9"/>
        </w:rPr>
        <w:t>Sestavená k: 31.12.2022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9"/>
        </w:rPr>
        <w:t>(v Kč, s přesností na dvě desetinná místa)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9"/>
        </w:rPr>
        <w:t>Okamžik sestavení: 18.1.2023</w:t>
      </w:r>
    </w:p>
    <w:p>
      <w:pPr>
        <w:pStyle w:val="Style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6" w:name="bookmark6"/>
      <w:r>
        <w:rPr>
          <w:rStyle w:val="CharStyle7"/>
          <w:b/>
          <w:bCs/>
        </w:rPr>
        <w:t>A.1. Informace podle § 7 odst. 3 zákona</w:t>
      </w:r>
      <w:bookmarkEnd w:id="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rStyle w:val="CharStyle12"/>
        </w:rPr>
        <w:t>Účetní jednotka pokračuje v následujícím účetním období ve své činnosti, nedošlo ke změnám metody z důvodu ukončení činnosti. Účetní jednotka nemá informace o tom, že by byl porušen princip nepřetržitého trvání.</w:t>
      </w:r>
    </w:p>
    <w:p>
      <w:pPr>
        <w:pStyle w:val="Style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8" w:name="bookmark8"/>
      <w:r>
        <w:rPr>
          <w:rStyle w:val="CharStyle7"/>
          <w:b/>
          <w:bCs/>
        </w:rPr>
        <w:t>A.2. Informace podle § 7 odst. 4 zákona</w:t>
      </w:r>
      <w:bookmarkEnd w:id="8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Došlo ke změnám metod vlivem změny předpisů k účetním metodám; prováděcí vyhlášky k zákonu o účetnictví, především č. 410/2009 Sb. s účinností od 1. 1. 2013. V roce 2013 se změna metod týkala především změny oceňování majetku při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rStyle w:val="CharStyle12"/>
        </w:rPr>
        <w:t>bezúplatných převodech mezi vybranými účetními jednotkami (ocenění dle účetních cen předávajícího) a dále evidence výnosu z prodeje drobného dlouhodobého majetku na účtu 646.</w:t>
      </w:r>
    </w:p>
    <w:p>
      <w:pPr>
        <w:pStyle w:val="Style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10" w:name="bookmark10"/>
      <w:r>
        <w:rPr>
          <w:rStyle w:val="CharStyle7"/>
          <w:b/>
          <w:bCs/>
        </w:rPr>
        <w:t>A.3. Informace podle § 7 odst. 5 zákona</w:t>
      </w:r>
      <w:bookmarkEnd w:id="1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12"/>
        </w:rPr>
        <w:t>podle účtu obec účtovala odpisy DNM a odpisy DHM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F" stroked="f"/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800"/>
        <w:gridCol w:w="758"/>
        <w:gridCol w:w="1301"/>
        <w:gridCol w:w="1306"/>
      </w:tblGrid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A.4. Informace podle § 7 odst. 5 zákona o stavu účtů v knize podrozvahových účtů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left"/>
            </w:pPr>
            <w:r>
              <w:rPr>
                <w:rStyle w:val="CharStyle14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Účet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Běžné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P.I. Majetek a závazky účetní jednotky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465 302,03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461 454,03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Jiný drobný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35 844,22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35 844,22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Jiný drobný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340 354,81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336 506,81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Vyřazené pohledávky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89 103,00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89 103,00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Vyřazené závazky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Ostatní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P.II. Krátkodobé podmíněné pohledávky z transferů a krátkodobé podmíněné závazky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Krátkodobé podmíněné pohledávky z předfinancování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Krátkodobé podmíněné závazky z předfinancování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Krátkodobé podmíněné pohledávky ze zahraničních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Krátkodobé podmíněné závazky ze zahraničních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Ostatní krátkodobé podmíněné pohledávky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6. Ostatní krátkodobé podmíněné závazky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P.III. Podmíněné pohledávky z důvodu užívání majetku jinou osobou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Krátkodobé podmíněné pohledávky z důvodu úplatného užívání majetku jinou osobou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Dlouhodobé podmíněné pohledávky z důvodou úplatného užívání majetku jinou osobou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Krátkodobé podmíněné pohledávky z důvodu užívání majetku jinou osobou na základě smlouvy o výpůjčce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Dlouhodobé podmíněné pohledávky z důvodu užívání majetku jinou osobou na základě smlouvy o výpůjčce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Krátkodobé podmíněné pohledávky z důvodu užívání majetku jinou osobou z jiných důvodů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6. Dlouhodobé podmíněné pohledávky z důvodu užívání majetku jinou osobou z jiných důvodů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P.IV. Další podmíněné pohledávky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Krátkodobé podmíněné pohledávky ze smluv o prodeji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Dlouhodobé podmíněné pohledávky ze smluv o prodeji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Krátkodobé podmíněné pohledávky z jiných smluv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Dlouhodobé podmíněné pohledávky z jiných smluv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Krátkodobé podmíněné pohledávky ze sdílených daní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6. Dlouhodobé podmíněné pohledávky ze sdílených daní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7. Krátkodobé podmíněné pohledávky ze vztahu k jiným zdrojům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8. Dlouhodobé podmíněné pohledávky ze vztahu k jiným zdrojům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9. Krátkodobé podmíněné úhrady pohledávek z přijatých zajištění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10. Dlouhodobé podmíněné úhrady pohledávek z přijatých zajištění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11. Krátkodobé podmíněné pohledávky ze soudních sporů, správních řízení a jiných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12. Dlouhodobé podmíněné pohledávky ze soudních sporů, správních řízení a jiných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P.V. Dlouhodobé podmíněné pohledávky z transferů a dlouhodobé podmíněné závazky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Dlouhodobé podmíněné pohledávky z předfinancování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Dlouhodobé podmíněné závazky z předfinancování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Dlouhodobé podmíněné pohledávky ze zahraničních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Dlouhodobé podmíněné závazky ze zahraničních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Ostatní dlouhodobé podmíněné pohledávky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6. Ostatní dlouhodobé podmíněné závazky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P.VI. Podmíněné závazky z důvodu užívání cizího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Krátkodobé podmíněné závazky z operativního leasingu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Dlouhodobé podmíněné závazky z operativního leasingu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Krátkodobé podmíněné závazky z finančního leasingu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Dlouhodobé podmíněné závazky z finančního leasingu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Krátkodobé podmíněné závazky z důvodu užívání cizího majetku na základě smlouvy o výpůjčce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6. Dlouhodobé podmíněné závazky z důvodu užívání cizího majetku na základě smlouvy o výpůjčce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7. Krátkodobé podmíněné závazky z důvodu užívání cizího majetku nebo jeho převzetí z jiných důvodů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8. Dlouhodobé podmíněné závazky z důvodu užívání cizího majetku nebo jeho převzetí z jiných důvodů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P.VII. Další podmíněné závazky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Krátkodobé podmíněné závazky ze smluv o pořízení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Dlouhodobé podmíněné závazky ze smluv o pořízení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Krátkodobé podmíněné závazky z jiných smluv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Dlouhodobé podmíněné závazky z jiných smluv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Krátkodobé podmíněné závazky z přijatého kolaterálu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6. Dlouhodobé podmíněné závazky z přijatého kolaterálu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7. Krátkodobé podm. závazky vyplývající z právních předpisů a další činnosti moci zákonodárné, výkonné nebo soudní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8. Dlouhodobé podm. závazky vyplývající z právních předpisů a další činnosti moci zákonodárné, výkonné nebo soudní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9. Krátkodobé podmíněné závazky z poskytnutých garancí jednorázových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10. Dlouhodobé podmíněné závazky z poskytnutých garancí jednorázových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11. Krátkodobé podmíněné závazky z poskytnutých garancí ostatních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12. Dlouhodobé podmíněné závazky z poskytnutých garancí ostatních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13. Krátkodobé podmíněné závazky ze soudních sporů, správních řízení a jiných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14. Dlouhodobé podmíněné závazky ze soudních sporů, správních řízení a jiných řízení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986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800"/>
        <w:gridCol w:w="758"/>
        <w:gridCol w:w="1301"/>
        <w:gridCol w:w="1306"/>
      </w:tblGrid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A.4. Informace podle § 7 odst. 5 zákona o stavu účtů v knize podrozvahových účtů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left"/>
            </w:pPr>
            <w:r>
              <w:rPr>
                <w:rStyle w:val="CharStyle14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Účet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Běžné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P.VIII. Ostatní podmíněná aktiva a ostatní podmíněná pasiva a vyrovnávací účty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1. Ostatní krátkodobá podmíněná aktiva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2. Ostatní dlouhodobá podmíněná aktiva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3. Ostatní krátkodobá podmíněná pasiva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4. Ostatní dlouhodobá podmíněná pasiva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5. Vyrovnávací účet k podrozvahovým účtům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465 302,03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461 454,03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632" w:right="374" w:bottom="686" w:left="361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pBdr>
          <w:top w:val="single" w:sz="4" w:space="0" w:color="BFE4FF"/>
          <w:left w:val="single" w:sz="4" w:space="0" w:color="BFE4FF"/>
          <w:bottom w:val="single" w:sz="4" w:space="4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036" w:right="8300" w:bottom="2036" w:left="476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  <w:b/>
          <w:bCs/>
        </w:rPr>
        <w:t>A.6. Informace podle § 19 odst. 6 zákona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rStyle w:val="CharStyle12"/>
        </w:rPr>
        <w:t>smlouvy o smlouvách budoucích nejsou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pBdr>
          <w:bottom w:val="single" w:sz="4" w:space="0" w:color="auto"/>
        </w:pBdr>
        <w:shd w:val="clear" w:color="auto" w:fill="auto"/>
        <w:tabs>
          <w:tab w:pos="474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rStyle w:val="CharStyle9"/>
          <w:b/>
          <w:bCs/>
        </w:rPr>
        <w:t>Informace podle § 66 odst. 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4" w:line="240" w:lineRule="auto"/>
        <w:ind w:left="0" w:right="0" w:firstLine="0"/>
        <w:jc w:val="left"/>
      </w:pPr>
      <w:r>
        <w:rPr>
          <w:rStyle w:val="CharStyle12"/>
        </w:rPr>
        <w:t>obec neúčtuje o investičním fondu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pBdr>
          <w:top w:val="single" w:sz="4" w:space="5" w:color="BFE4FF"/>
          <w:left w:val="single" w:sz="4" w:space="0" w:color="BFE4FF"/>
          <w:bottom w:val="single" w:sz="4" w:space="3" w:color="BFE4FF"/>
          <w:right w:val="single" w:sz="4" w:space="0" w:color="BFE4FF"/>
        </w:pBdr>
        <w:shd w:val="clear" w:color="auto" w:fill="BFE4FF"/>
        <w:tabs>
          <w:tab w:pos="474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01" w:right="337" w:bottom="1201" w:left="399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  <w:b/>
          <w:bCs/>
        </w:rPr>
        <w:t>Informace podle § 68 odst. 3</w:t>
      </w:r>
    </w:p>
    <w:tbl>
      <w:tblPr>
        <w:tblOverlap w:val="never"/>
        <w:jc w:val="center"/>
        <w:tblLayout w:type="fixed"/>
      </w:tblPr>
      <w:tblGrid>
        <w:gridCol w:w="8558"/>
        <w:gridCol w:w="1301"/>
        <w:gridCol w:w="1306"/>
      </w:tblGrid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C. Doplňující informace k položkám rozvahy "C.I.1 Jmění účetní jednotky" a "C.I.3. Transfery na pořízení dlouhodobého majetku"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Běžné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C.1. Zvýšení stavu transferů na pořízení dlouhodobého majetku za běžné účetní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C.2. Snížení stavu transferů na pořízení dlouhodobého majetku ve věcné a časové souvislosti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4"/>
              </w:rPr>
              <w:t>47 460,00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4"/>
              </w:rPr>
              <w:t>47 460,00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59" w:right="337" w:bottom="759" w:left="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pBdr>
          <w:top w:val="single" w:sz="4" w:space="0" w:color="BFE4FF"/>
          <w:left w:val="single" w:sz="4" w:space="0" w:color="BFE4FF"/>
          <w:bottom w:val="single" w:sz="4" w:space="7" w:color="BFE4FF"/>
          <w:right w:val="single" w:sz="4" w:space="0" w:color="BFE4FF"/>
        </w:pBdr>
        <w:shd w:val="clear" w:color="auto" w:fill="BFE4FF"/>
        <w:bidi w:val="0"/>
        <w:spacing w:before="0" w:after="376" w:line="240" w:lineRule="auto"/>
        <w:ind w:left="0" w:right="0" w:firstLine="0"/>
        <w:jc w:val="left"/>
      </w:pPr>
      <w:r>
        <w:rPr>
          <w:rStyle w:val="CharStyle9"/>
          <w:b/>
          <w:bCs/>
        </w:rPr>
        <w:t>D.1. Počet jednotlivých věcí a souborů majetku nebo seznam tohoto majetku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39" w:line="240" w:lineRule="auto"/>
        <w:ind w:left="0" w:right="0" w:firstLine="0"/>
        <w:jc w:val="left"/>
      </w:pPr>
      <w:r>
        <w:rPr>
          <w:rStyle w:val="CharStyle12"/>
        </w:rPr>
        <w:t>netýká se naší obce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5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D.2 Celková výměra lesních pozemků s lesním porostem</w:t>
      </w:r>
    </w:p>
    <w:p>
      <w:pPr>
        <w:pStyle w:val="Style11"/>
        <w:keepNext w:val="0"/>
        <w:keepLines w:val="0"/>
        <w:widowControl w:val="0"/>
        <w:pBdr>
          <w:top w:val="single" w:sz="0" w:space="5" w:color="BFE4FF"/>
          <w:left w:val="single" w:sz="0" w:space="0" w:color="BFE4FF"/>
          <w:bottom w:val="single" w:sz="0" w:space="5" w:color="BFE4FF"/>
          <w:right w:val="single" w:sz="0" w:space="0" w:color="BFE4FF"/>
        </w:pBdr>
        <w:shd w:val="clear" w:color="auto" w:fill="BFE4FF"/>
        <w:bidi w:val="0"/>
        <w:spacing w:before="0" w:after="398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2"/>
        </w:rPr>
        <w:t>Hodnota: 929 208,00 m</w:t>
      </w:r>
      <w:r>
        <w:rPr>
          <w:rStyle w:val="CharStyle12"/>
          <w:sz w:val="22"/>
          <w:szCs w:val="22"/>
          <w:vertAlign w:val="superscript"/>
        </w:rPr>
        <w:t>2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6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D.3. Výše ocenění celkové výměry lesních pozemků s lesním porostem ve výši 57 Kč/m2</w:t>
      </w:r>
    </w:p>
    <w:p>
      <w:pPr>
        <w:pStyle w:val="Style11"/>
        <w:keepNext w:val="0"/>
        <w:keepLines w:val="0"/>
        <w:widowControl w:val="0"/>
        <w:pBdr>
          <w:top w:val="single" w:sz="0" w:space="5" w:color="BFE4FF"/>
          <w:left w:val="single" w:sz="0" w:space="0" w:color="BFE4FF"/>
          <w:bottom w:val="single" w:sz="0" w:space="6" w:color="BFE4FF"/>
          <w:right w:val="single" w:sz="0" w:space="0" w:color="BFE4FF"/>
        </w:pBdr>
        <w:shd w:val="clear" w:color="auto" w:fill="BFE4FF"/>
        <w:bidi w:val="0"/>
        <w:spacing w:before="0" w:after="394" w:line="240" w:lineRule="auto"/>
        <w:ind w:left="0" w:right="0" w:firstLine="0"/>
        <w:jc w:val="left"/>
      </w:pPr>
      <w:r>
        <w:rPr>
          <w:rStyle w:val="CharStyle12"/>
        </w:rPr>
        <w:t>Hodnota: 52 964 856,00 Kč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6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D.4. Výměra lesních pozemků s lesním porostem oceněným jiným způsobem</w:t>
      </w:r>
    </w:p>
    <w:p>
      <w:pPr>
        <w:pStyle w:val="Style11"/>
        <w:keepNext w:val="0"/>
        <w:keepLines w:val="0"/>
        <w:widowControl w:val="0"/>
        <w:pBdr>
          <w:top w:val="single" w:sz="0" w:space="5" w:color="BFE4FF"/>
          <w:left w:val="single" w:sz="0" w:space="0" w:color="BFE4FF"/>
          <w:bottom w:val="single" w:sz="0" w:space="6" w:color="BFE4FF"/>
          <w:right w:val="single" w:sz="0" w:space="0" w:color="BFE4FF"/>
        </w:pBdr>
        <w:shd w:val="clear" w:color="auto" w:fill="BFE4FF"/>
        <w:bidi w:val="0"/>
        <w:spacing w:before="0" w:after="389" w:line="240" w:lineRule="auto"/>
        <w:ind w:left="0" w:right="0" w:firstLine="0"/>
        <w:jc w:val="left"/>
      </w:pPr>
      <w:r>
        <w:rPr>
          <w:rStyle w:val="CharStyle12"/>
        </w:rPr>
        <w:t>Hodnota: 929 208,00 rm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6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D.5. Výše ocenění lesních pozemků s lesním porostem oceněným jiným způsobem</w:t>
      </w:r>
    </w:p>
    <w:p>
      <w:pPr>
        <w:pStyle w:val="Style11"/>
        <w:keepNext w:val="0"/>
        <w:keepLines w:val="0"/>
        <w:widowControl w:val="0"/>
        <w:pBdr>
          <w:top w:val="single" w:sz="0" w:space="5" w:color="BFE4FF"/>
          <w:left w:val="single" w:sz="0" w:space="0" w:color="BFE4FF"/>
          <w:bottom w:val="single" w:sz="0" w:space="6" w:color="BFE4FF"/>
          <w:right w:val="single" w:sz="0" w:space="0" w:color="BFE4FF"/>
        </w:pBdr>
        <w:shd w:val="clear" w:color="auto" w:fill="BFE4FF"/>
        <w:bidi w:val="0"/>
        <w:spacing w:before="0" w:after="394" w:line="240" w:lineRule="auto"/>
        <w:ind w:left="0" w:right="0" w:firstLine="0"/>
        <w:jc w:val="left"/>
      </w:pPr>
      <w:r>
        <w:rPr>
          <w:rStyle w:val="CharStyle12"/>
        </w:rPr>
        <w:t>Hodnota: 24 135 820,74 Kč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6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D.6. Průměrná výše ocenění výměry lesních pozemků s lesním porostem oceněných jiným způsobem</w:t>
      </w:r>
    </w:p>
    <w:p>
      <w:pPr>
        <w:pStyle w:val="Style11"/>
        <w:keepNext w:val="0"/>
        <w:keepLines w:val="0"/>
        <w:widowControl w:val="0"/>
        <w:pBdr>
          <w:top w:val="single" w:sz="0" w:space="5" w:color="BFE4FF"/>
          <w:left w:val="single" w:sz="0" w:space="0" w:color="BFE4FF"/>
          <w:bottom w:val="single" w:sz="0" w:space="6" w:color="BFE4FF"/>
          <w:right w:val="single" w:sz="0" w:space="0" w:color="BFE4FF"/>
        </w:pBdr>
        <w:shd w:val="clear" w:color="auto" w:fill="BFE4FF"/>
        <w:bidi w:val="0"/>
        <w:spacing w:before="0" w:after="490" w:line="240" w:lineRule="auto"/>
        <w:ind w:left="0" w:right="0" w:firstLine="0"/>
        <w:jc w:val="left"/>
      </w:pPr>
      <w:r>
        <w:rPr>
          <w:rStyle w:val="CharStyle12"/>
        </w:rPr>
        <w:t>Hodnota: 25,97 Kč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9"/>
          <w:b/>
          <w:bCs/>
        </w:rPr>
        <w:t>D.7. Komentář k ocenění lesních pozemků jiným způsobem</w: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17" w:right="4670" w:bottom="817" w:left="480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 xml:space="preserve">Hodnota: 24 135 820,74 Kč </w:t>
      </w:r>
      <w:r>
        <w:rPr>
          <w:rStyle w:val="CharStyle12"/>
        </w:rPr>
        <w:t>dle znaleckého posudku č. 5-05-20 ze dne 31. 12. 2000</w:t>
      </w:r>
    </w:p>
    <w:p>
      <w:pPr>
        <w:pStyle w:val="Style8"/>
        <w:keepNext w:val="0"/>
        <w:keepLines w:val="0"/>
        <w:widowControl w:val="0"/>
        <w:pBdr>
          <w:top w:val="single" w:sz="4" w:space="0" w:color="BFE4FF"/>
          <w:left w:val="single" w:sz="4" w:space="0" w:color="BFE4FF"/>
          <w:bottom w:val="single" w:sz="4" w:space="7" w:color="BFE4FF"/>
          <w:right w:val="single" w:sz="4" w:space="0" w:color="BFE4FF"/>
        </w:pBdr>
        <w:shd w:val="clear" w:color="auto" w:fill="BFE4FF"/>
        <w:bidi w:val="0"/>
        <w:spacing w:before="0" w:after="135" w:line="240" w:lineRule="auto"/>
        <w:ind w:left="0" w:right="0" w:firstLine="0"/>
        <w:jc w:val="both"/>
      </w:pPr>
      <w:r>
        <w:rPr>
          <w:rStyle w:val="CharStyle9"/>
          <w:b/>
          <w:bCs/>
        </w:rPr>
        <w:t>E.1. Doplňující informace k položkám rozvahy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7" w:color="BFE4FF"/>
          <w:right w:val="single" w:sz="4" w:space="0" w:color="BFE4FF"/>
        </w:pBdr>
        <w:shd w:val="clear" w:color="auto" w:fill="BFE4FF"/>
        <w:bidi w:val="0"/>
        <w:spacing w:before="0" w:after="140" w:line="240" w:lineRule="auto"/>
        <w:ind w:left="0" w:right="0" w:firstLine="0"/>
        <w:jc w:val="both"/>
      </w:pPr>
      <w:r>
        <w:rPr>
          <w:rStyle w:val="CharStyle9"/>
          <w:b/>
          <w:bCs/>
        </w:rPr>
        <w:t>E.2. Doplňující informace k položkám výkazu zisku a ztráty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7" w:color="BFE4FF"/>
          <w:right w:val="single" w:sz="4" w:space="0" w:color="BFE4FF"/>
        </w:pBdr>
        <w:shd w:val="clear" w:color="auto" w:fill="BFE4FF"/>
        <w:bidi w:val="0"/>
        <w:spacing w:before="0" w:after="145" w:line="240" w:lineRule="auto"/>
        <w:ind w:left="0" w:right="0" w:firstLine="0"/>
        <w:jc w:val="both"/>
      </w:pPr>
      <w:r>
        <w:rPr>
          <w:rStyle w:val="CharStyle9"/>
          <w:b/>
          <w:bCs/>
        </w:rPr>
        <w:t>E.3. Doplňující informace k položkám přehledu o peněžních tocích</w:t>
      </w:r>
    </w:p>
    <w:p>
      <w:pPr>
        <w:pStyle w:val="Style8"/>
        <w:keepNext w:val="0"/>
        <w:keepLines w:val="0"/>
        <w:widowControl w:val="0"/>
        <w:pBdr>
          <w:top w:val="single" w:sz="4" w:space="5" w:color="BFE4FF"/>
          <w:left w:val="single" w:sz="4" w:space="0" w:color="BFE4FF"/>
          <w:bottom w:val="single" w:sz="4" w:space="3" w:color="BFE4FF"/>
          <w:right w:val="single" w:sz="4" w:space="0" w:color="BFE4FF"/>
        </w:pBdr>
        <w:shd w:val="clear" w:color="auto" w:fill="BFE4FF"/>
        <w:bidi w:val="0"/>
        <w:spacing w:before="0" w:after="314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798" w:right="337" w:bottom="798" w:left="399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  <w:b/>
          <w:bCs/>
        </w:rPr>
        <w:t>E.4. Doplňující informace k položkám přehledu o změnách vlastního kapitálu</w:t>
      </w:r>
    </w:p>
    <w:tbl>
      <w:tblPr>
        <w:tblOverlap w:val="never"/>
        <w:jc w:val="center"/>
        <w:tblLayout w:type="fixed"/>
      </w:tblPr>
      <w:tblGrid>
        <w:gridCol w:w="9557"/>
        <w:gridCol w:w="1608"/>
      </w:tblGrid>
      <w:tr>
        <w:trPr>
          <w:trHeight w:val="40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F. Doplňující informace k fondům účetní jednotky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4"/>
              </w:rPr>
              <w:t>Běžné účetní období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G. Ostatní fondy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G.I. Počáteční stav fondu k 1.1.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4"/>
                <w:b/>
                <w:bCs/>
              </w:rPr>
              <w:t>568 160,00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G.II. Tvorba fondu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4"/>
                <w:b/>
                <w:bCs/>
              </w:rPr>
              <w:t>134 080,00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4"/>
              </w:rPr>
              <w:t>1. Přebytky hospodaření z minulých let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4"/>
              </w:rPr>
              <w:t>2. Příjmy běžného roku, které nejsou určeny k využití v běžném roce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4"/>
              </w:rPr>
              <w:t>3. Převody prostředků z rozpočtu během roku do účelových peněžních fondů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4"/>
              </w:rPr>
              <w:t>134 080,00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4"/>
              </w:rPr>
              <w:t>4. Ostatní tvorba fondu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G.III. Čerpání fondu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G.IV. Konečný stav fondu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4"/>
                <w:b/>
                <w:bCs/>
              </w:rPr>
              <w:t>702 240,00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697" w:right="337" w:bottom="697" w:left="39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957"/>
        <w:gridCol w:w="1301"/>
        <w:gridCol w:w="1301"/>
        <w:gridCol w:w="1301"/>
        <w:gridCol w:w="1306"/>
      </w:tblGrid>
      <w:tr>
        <w:trPr>
          <w:trHeight w:val="40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G. Doplňující informace k položce „A.II.3. Stavby" výkazu rozvahy</w:t>
            </w:r>
          </w:p>
        </w:tc>
      </w:tr>
      <w:tr>
        <w:trPr>
          <w:trHeight w:val="22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Název položky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592" w:val="left"/>
                <w:tab w:pos="389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</w:t>
              <w:tab/>
              <w:t>3</w:t>
              <w:tab/>
              <w:t>4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Běžné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4"/>
              </w:rPr>
              <w:t>Brutto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Korekce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4"/>
              </w:rPr>
              <w:t>Netto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G.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9 376 774,90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2 377 740,80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6 999 034,10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7 149 094,10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G.1. Bytové domy a bytové jednotky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G.2. Budovy pro služby obyvatelstvu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1 086 171,70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169 476,00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916 695,70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929 991,70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G.3. Jiné nebytové domy a nebytové jednotky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420 946,80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389 312,80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31 634,00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32 882,00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G.4. Komunikace a veřejné osvětlení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4 254 643,00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883 728,00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3 370 915,00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3 455 959,00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G.5. Jiné inženýrské sítě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3 267 780,20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732 244,00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2 535 536,20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2 575 352,20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G.6. Ostatní stavby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347 233,20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202 980,00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144 253,20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154 909,20</w:t>
            </w:r>
          </w:p>
        </w:tc>
      </w:tr>
    </w:tbl>
    <w:p>
      <w:pPr>
        <w:widowControl w:val="0"/>
        <w:spacing w:after="439" w:line="1" w:lineRule="exact"/>
      </w:pPr>
    </w:p>
    <w:tbl>
      <w:tblPr>
        <w:tblOverlap w:val="never"/>
        <w:jc w:val="center"/>
        <w:tblLayout w:type="fixed"/>
      </w:tblPr>
      <w:tblGrid>
        <w:gridCol w:w="5957"/>
        <w:gridCol w:w="1301"/>
        <w:gridCol w:w="1301"/>
        <w:gridCol w:w="1301"/>
        <w:gridCol w:w="1306"/>
      </w:tblGrid>
      <w:tr>
        <w:trPr>
          <w:trHeight w:val="40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H. Doplňující informace k položce „A.II.1. Pozemky" výkazu rozvahy</w:t>
            </w:r>
          </w:p>
        </w:tc>
      </w:tr>
      <w:tr>
        <w:trPr>
          <w:trHeight w:val="2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Název položky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592" w:val="left"/>
                <w:tab w:pos="389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</w:t>
              <w:tab/>
              <w:t>3</w:t>
              <w:tab/>
              <w:t>4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Běžné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4"/>
              </w:rPr>
              <w:t>Brutto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Korekce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4"/>
              </w:rPr>
              <w:t>Netto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H. Pozemky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29 899 680,94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29 899 680,94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29 890 650,94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H.1. Stavební pozemky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H.2. Lesní pozemky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27 138 571,66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27 138 571,66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27 138 571,66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H.3. Zahrady, pastviny, louky, rybníky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1 586 756,82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1 586 756,82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1 586 756,82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H.4. Zastavěná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20 113,62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20 113,62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20 113,62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H.5. Ostatní pozemky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1 154 238,84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1 154 238,84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4"/>
              </w:rPr>
              <w:t>1 145 208,84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697" w:right="337" w:bottom="697" w:left="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100" w:line="240" w:lineRule="auto"/>
        <w:ind w:left="0" w:right="0" w:firstLine="0"/>
        <w:jc w:val="left"/>
      </w:pPr>
      <w:bookmarkStart w:id="12" w:name="bookmark12"/>
      <w:r>
        <w:rPr>
          <w:rStyle w:val="CharStyle7"/>
          <w:b/>
          <w:bCs/>
        </w:rPr>
        <w:t>Doplňující informace k položce "A.II.4. Náklady z přecenění reálnou hodnotou" výkazu zisku a ztráty</w:t>
      </w:r>
      <w:bookmarkEnd w:id="12"/>
    </w:p>
    <w:tbl>
      <w:tblPr>
        <w:tblOverlap w:val="never"/>
        <w:jc w:val="center"/>
        <w:tblLayout w:type="fixed"/>
      </w:tblPr>
      <w:tblGrid>
        <w:gridCol w:w="8558"/>
        <w:gridCol w:w="1301"/>
        <w:gridCol w:w="1306"/>
      </w:tblGrid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Běžné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I. Náklady z přecenění reálnou hodnotou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I.1. Náklady z přecenění reálnou hodnotou majetku určeného k prodeji podle § 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I.2. Ostatní náklady z přecenění reálnou hodnotou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55" w:right="337" w:bottom="855" w:left="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20" w:val="left"/>
        </w:tabs>
        <w:bidi w:val="0"/>
        <w:spacing w:before="0" w:after="100" w:line="240" w:lineRule="auto"/>
        <w:ind w:left="0" w:right="0" w:firstLine="0"/>
        <w:jc w:val="left"/>
      </w:pPr>
      <w:bookmarkStart w:id="14" w:name="bookmark14"/>
      <w:r>
        <w:rPr>
          <w:rStyle w:val="CharStyle7"/>
          <w:b/>
          <w:bCs/>
        </w:rPr>
        <w:t>Doplňující informace k položce "B.II.4. Výnosy z přecenění reálnou hodnotou" výkazu zisku a ztráty</w:t>
      </w:r>
      <w:bookmarkEnd w:id="14"/>
    </w:p>
    <w:tbl>
      <w:tblPr>
        <w:tblOverlap w:val="never"/>
        <w:jc w:val="center"/>
        <w:tblLayout w:type="fixed"/>
      </w:tblPr>
      <w:tblGrid>
        <w:gridCol w:w="8558"/>
        <w:gridCol w:w="1301"/>
        <w:gridCol w:w="1306"/>
      </w:tblGrid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4"/>
                <w:sz w:val="11"/>
                <w:szCs w:val="11"/>
              </w:rPr>
              <w:t>ÚČETNÍ OBDOBÍ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Běžné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Minulé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J. Výnosy z přecenění reálnou hodnotou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J.1. Výnosy z přecenění reálnou hodnotou majetku určeného k prodeji podle § 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J.2. Ostatní výnosy z přecenění reálnou hodnotou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55" w:right="337" w:bottom="855" w:left="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pBdr>
          <w:top w:val="single" w:sz="4" w:space="1" w:color="E5F3FF"/>
          <w:left w:val="single" w:sz="4" w:space="0" w:color="E5F3FF"/>
          <w:bottom w:val="single" w:sz="4" w:space="7" w:color="E5F3FF"/>
          <w:right w:val="single" w:sz="4" w:space="0" w:color="E5F3FF"/>
        </w:pBdr>
        <w:shd w:val="clear" w:color="auto" w:fill="E5F3FF"/>
        <w:bidi w:val="0"/>
        <w:spacing w:before="0" w:after="155" w:line="240" w:lineRule="auto"/>
        <w:ind w:left="0" w:right="0" w:firstLine="0"/>
        <w:jc w:val="left"/>
      </w:pPr>
      <w:r>
        <w:rPr>
          <w:rStyle w:val="CharStyle9"/>
          <w:b/>
          <w:bCs/>
        </w:rPr>
        <w:t>Údaje k poskytnutým garancím jednorázovým</w:t>
      </w:r>
    </w:p>
    <w:p>
      <w:pPr>
        <w:pStyle w:val="Style8"/>
        <w:keepNext w:val="0"/>
        <w:keepLines w:val="0"/>
        <w:widowControl w:val="0"/>
        <w:pBdr>
          <w:top w:val="single" w:sz="4" w:space="5" w:color="E5F3FF"/>
          <w:left w:val="single" w:sz="4" w:space="0" w:color="E5F3FF"/>
          <w:bottom w:val="single" w:sz="4" w:space="3" w:color="E5F3FF"/>
          <w:right w:val="single" w:sz="4" w:space="0" w:color="E5F3FF"/>
        </w:pBdr>
        <w:shd w:val="clear" w:color="auto" w:fill="E5F3FF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88" w:right="337" w:bottom="788" w:left="399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  <w:b/>
          <w:bCs/>
        </w:rPr>
        <w:t>Údaje k poskytnutým garancím ostatním</w:t>
      </w:r>
    </w:p>
    <w:p>
      <w:pPr>
        <w:pStyle w:val="Style6"/>
        <w:keepNext/>
        <w:keepLines/>
        <w:widowControl w:val="0"/>
        <w:pBdr>
          <w:top w:val="single" w:sz="4" w:space="1" w:color="BFE4FF"/>
          <w:left w:val="single" w:sz="4" w:space="0" w:color="BFE4FF"/>
          <w:bottom w:val="single" w:sz="4" w:space="3" w:color="BFE4FF"/>
          <w:right w:val="single" w:sz="4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788" w:right="337" w:bottom="13841" w:left="399" w:header="0" w:footer="3" w:gutter="0"/>
          <w:cols w:space="720"/>
          <w:noEndnote/>
          <w:rtlGutter w:val="0"/>
          <w:docGrid w:linePitch="360"/>
        </w:sectPr>
      </w:pPr>
      <w:bookmarkStart w:id="16" w:name="bookmark16"/>
      <w:r>
        <w:rPr>
          <w:rStyle w:val="CharStyle7"/>
          <w:b/>
          <w:bCs/>
        </w:rPr>
        <w:t>Údaje o projektech partnerství veřejného a soukromého sektoru</w:t>
      </w:r>
      <w:bookmarkEnd w:id="1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7" w:right="0" w:bottom="45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1080" w:h="216" w:wrap="none" w:vAnchor="text" w:hAnchor="page" w:x="58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Odesláno dne:</w:t>
      </w:r>
    </w:p>
    <w:p>
      <w:pPr>
        <w:pStyle w:val="Style8"/>
        <w:keepNext w:val="0"/>
        <w:keepLines w:val="0"/>
        <w:framePr w:w="619" w:h="216" w:wrap="none" w:vAnchor="text" w:hAnchor="page" w:x="37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Razítko:</w:t>
      </w:r>
    </w:p>
    <w:p>
      <w:pPr>
        <w:pStyle w:val="Style8"/>
        <w:keepNext w:val="0"/>
        <w:keepLines w:val="0"/>
        <w:framePr w:w="2429" w:h="216" w:wrap="none" w:vAnchor="text" w:hAnchor="page" w:x="852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Podpis vedoucího účetní jednotky</w:t>
      </w:r>
    </w:p>
    <w:p>
      <w:pPr>
        <w:widowControl w:val="0"/>
        <w:spacing w:after="21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97" w:right="337" w:bottom="458" w:left="39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8"/>
      <w:numFmt w:val="decimal"/>
      <w:lvlText w:val="%1."/>
    </w:lvl>
    <w:lvl w:ilvl="1">
      <w:start w:val="2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9"/>
      <w:numFmt w:val="upperLetter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3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auto"/>
      <w:spacing w:after="1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18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spacing w:after="6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