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6309360</wp:posOffset>
                </wp:positionH>
                <wp:positionV relativeFrom="paragraph">
                  <wp:posOffset>12700</wp:posOffset>
                </wp:positionV>
                <wp:extent cx="100584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584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KEO4 1.12.10 UR006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6.80000000000001pt;margin-top:1.pt;width:79.200000000000003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KEO4 1.12.10 UR006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Obec Svatojanský Újezd, IČO 00578606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4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sz w:val="22"/>
          <w:szCs w:val="22"/>
        </w:rPr>
        <w:t>Rozpočtové změny s důvodovou zprávou</w:t>
      </w:r>
    </w:p>
    <w:p>
      <w:pPr>
        <w:pStyle w:val="Style7"/>
        <w:keepNext w:val="0"/>
        <w:keepLines w:val="0"/>
        <w:widowControl w:val="0"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Schválené rozpočtové opatření č. 2/2023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rStyle w:val="CharStyle3"/>
        </w:rPr>
        <w:t>Zastupitelstvu předloženy ke schválení úpravy rozpočtu: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373"/>
        <w:gridCol w:w="509"/>
        <w:gridCol w:w="600"/>
        <w:gridCol w:w="816"/>
        <w:gridCol w:w="677"/>
        <w:gridCol w:w="1661"/>
        <w:gridCol w:w="1421"/>
        <w:gridCol w:w="1171"/>
        <w:gridCol w:w="2914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Par Po/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1121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525 950,00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525 950,00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625 950,00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625 950,00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Daň z příjmů právnických osob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22" w:val="left"/>
              </w:tabs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1032 2111</w:t>
              <w:tab/>
              <w:t>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1032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102 350,00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102 350,00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202 350,00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202 350,00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Příjem z poskytování služeb, výrobků,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Podpora ostatních produkčních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625 950,00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202 350,00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828 300,00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Par Po/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71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98" w:val="right"/>
              </w:tabs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1032 5139</w:t>
              <w:tab/>
              <w:t>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98" w:val="right"/>
              </w:tabs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1032 5169</w:t>
              <w:tab/>
              <w:t>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1032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70 000,00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187 000,00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257 000,00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138 000,00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30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63 000,00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201000,00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208 000,00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250 000,00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458 000,00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Nákup materiálu jinde nezařazený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Nákup ostatních služeb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Podpora ostatních produkčních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2310 5154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2310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7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9 260,00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9 260,00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1 350,00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1350,00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10 610,00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10 610,00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Elektrická energie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Pitná voda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266 260,00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202 350,00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468 610,00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Změna závazných ukazatelů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810"/>
        <w:gridCol w:w="403"/>
        <w:gridCol w:w="1402"/>
        <w:gridCol w:w="854"/>
        <w:gridCol w:w="1536"/>
        <w:gridCol w:w="1454"/>
        <w:gridCol w:w="3682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0000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3 415 710,00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100 000,00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3 515 710,00 Bez paragrafu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1032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152 500,00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102 350,00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</w:rPr>
              <w:t>254 850,00 Podpora ostatních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3 568 210,00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202 350,00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3 770 560,00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1032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301200,00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201000,00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</w:rPr>
              <w:t>502 200,00 Podpora ostatních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2310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</w:rPr>
              <w:t>9 860,00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11"/>
                <w:b/>
                <w:bCs/>
              </w:rPr>
              <w:t>1350,00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  <w:b/>
                <w:bCs/>
              </w:rPr>
              <w:t>11210,00 Pitná voda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311 060,00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202 350,00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</w:rPr>
              <w:t>513 410,00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</w:pPr>
      <w:r>
        <w:rPr>
          <w:rStyle w:val="CharStyle5"/>
          <w:b/>
          <w:bCs/>
        </w:rPr>
        <w:t>Důvodová zpráva k rozpočtovému opatření č. 2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8"/>
          <w:b/>
          <w:bCs/>
        </w:rPr>
        <w:t>Schváleno usnesením:</w:t>
        <w:tab/>
        <w:t>Na zasedání dne: 14.12.2023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Zpracoval: Marie Vinklerová dne: 10.01.2024</w:t>
      </w:r>
    </w:p>
    <w:sectPr>
      <w:footnotePr>
        <w:pos w:val="pageBottom"/>
        <w:numFmt w:val="decimal"/>
        <w:numRestart w:val="continuous"/>
      </w:footnotePr>
      <w:pgSz w:w="11900" w:h="16840"/>
      <w:pgMar w:top="380" w:right="380" w:bottom="759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87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Rozpoctove_zmeny_s_duvodovou_zpravou8834689665967483704.pdf</dc:title>
  <dc:subject/>
  <dc:creator>Marie Vinklerová</dc:creator>
  <cp:keywords/>
</cp:coreProperties>
</file>