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12700</wp:posOffset>
                </wp:positionV>
                <wp:extent cx="100584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1.12.14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6.80000000000001pt;margin-top:1.pt;width:79.200000000000003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1.12.14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3/2024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Výdaje</w:t>
      </w:r>
    </w:p>
    <w:tbl>
      <w:tblPr>
        <w:tblOverlap w:val="never"/>
        <w:jc w:val="center"/>
        <w:tblLayout w:type="fixed"/>
      </w:tblPr>
      <w:tblGrid>
        <w:gridCol w:w="1882"/>
        <w:gridCol w:w="600"/>
        <w:gridCol w:w="816"/>
        <w:gridCol w:w="677"/>
        <w:gridCol w:w="1661"/>
        <w:gridCol w:w="1358"/>
        <w:gridCol w:w="1234"/>
        <w:gridCol w:w="2914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5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1)</w:t>
              <w:tab/>
              <w:t>22216121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2221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250 000,00 Stavby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250 000,00 Provoz veřejné silniční dopravy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56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2)</w:t>
              <w:tab/>
              <w:t>3725 5137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3725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Drobný dlouhodobý hmotný majetek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Využívání a zneškodňování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Financování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8115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2 988 450,00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2 988 450,00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280 000,00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3 268 450,00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3 268 450,00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Změny stavu krátkodobých prostředků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Financování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2 988 450,00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3 268 450,00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Výdaje</w:t>
      </w:r>
    </w:p>
    <w:tbl>
      <w:tblPr>
        <w:tblOverlap w:val="never"/>
        <w:jc w:val="center"/>
        <w:tblLayout w:type="fixed"/>
      </w:tblPr>
      <w:tblGrid>
        <w:gridCol w:w="1824"/>
        <w:gridCol w:w="394"/>
        <w:gridCol w:w="1397"/>
        <w:gridCol w:w="854"/>
        <w:gridCol w:w="1536"/>
        <w:gridCol w:w="1450"/>
        <w:gridCol w:w="3686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2221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120 000,00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</w:rPr>
              <w:t>370 000,00 Provoz veřejné silniční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3725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  <w:b/>
                <w:bCs/>
              </w:rPr>
              <w:t>43 000,00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</w:rPr>
              <w:t>30 000,00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73 000,00 Využívání a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163 000,00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280 000,00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</w:rPr>
              <w:t>443 000,00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Financování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0000 8XXX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2 988 450,00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280 000,00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3 268 450,00 FINANCOVÁNÍ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Financování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2 988 450,00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280 000,00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3 268 450,00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8"/>
        </w:rPr>
        <w:t>ad 1) zastávka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8"/>
        </w:rPr>
        <w:t>ad 2) kontejnery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8"/>
        </w:rPr>
        <w:t>Zpracoval: Marie Vinklerová dne: 30.04.2024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62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Rozpoctove_zmeny_s_duvodovou_zpravou7457844366827260912.pdf</dc:title>
  <dc:subject/>
  <dc:creator>Marie Vinklerová</dc:creator>
  <cp:keywords/>
</cp:coreProperties>
</file>