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FFF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6312535</wp:posOffset>
                </wp:positionH>
                <wp:positionV relativeFrom="paragraph">
                  <wp:posOffset>12700</wp:posOffset>
                </wp:positionV>
                <wp:extent cx="1002665" cy="137160"/>
                <wp:wrapSquare wrapText="bothSides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0266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KEO4 1.14.11 UR006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97.05000000000001pt;margin-top:1.pt;width:78.950000000000003pt;height:10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KEO4 1.14.11 UR006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3"/>
        </w:rPr>
        <w:t>Obec Svatojanský Újezd, IČO 00578606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20" w:line="240" w:lineRule="auto"/>
        <w:ind w:left="0" w:right="0" w:firstLine="0"/>
        <w:jc w:val="center"/>
        <w:rPr>
          <w:sz w:val="22"/>
          <w:szCs w:val="22"/>
        </w:rPr>
      </w:pPr>
      <w:r>
        <w:rPr>
          <w:rStyle w:val="CharStyle5"/>
          <w:sz w:val="22"/>
          <w:szCs w:val="22"/>
        </w:rPr>
        <w:t>Rozpočtové změny s důvodovou zprávou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28"/>
          <w:szCs w:val="28"/>
        </w:rPr>
      </w:pPr>
      <w:r>
        <w:rPr>
          <w:rStyle w:val="CharStyle8"/>
          <w:b/>
          <w:bCs/>
          <w:sz w:val="28"/>
          <w:szCs w:val="28"/>
        </w:rPr>
        <w:t>Schválené rozpočtové opatření č. 8/2025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Zastupitelstvu předloženy ke schválení úpravy rozpočtu:</w:t>
      </w:r>
    </w:p>
    <w:tbl>
      <w:tblPr>
        <w:tblOverlap w:val="never"/>
        <w:jc w:val="center"/>
        <w:tblLayout w:type="fixed"/>
      </w:tblPr>
      <w:tblGrid>
        <w:gridCol w:w="1354"/>
        <w:gridCol w:w="518"/>
        <w:gridCol w:w="600"/>
        <w:gridCol w:w="3202"/>
        <w:gridCol w:w="1382"/>
        <w:gridCol w:w="1166"/>
        <w:gridCol w:w="2899"/>
      </w:tblGrid>
      <w:tr>
        <w:trPr>
          <w:trHeight w:val="446" w:hRule="exact"/>
        </w:trPr>
        <w:tc>
          <w:tcPr>
            <w:gridSpan w:val="7"/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1"/>
                <w:b/>
                <w:bCs/>
                <w:sz w:val="26"/>
                <w:szCs w:val="26"/>
              </w:rPr>
              <w:t>Příjmy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Par Pol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org1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org2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N+Z+Uz ZJ MU Původní hodnota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Změna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Po změně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Název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4222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Celkem za Par: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88 000,00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88 000,00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80 000,00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80 000,00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168 000,00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168 000,00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Investiční přijaté transfery od krajů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Příjmy celkem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88 000,00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80 000,00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168 000,00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99" w:line="1" w:lineRule="exact"/>
      </w:pPr>
    </w:p>
    <w:p>
      <w:pPr>
        <w:pStyle w:val="Style16"/>
        <w:keepNext w:val="0"/>
        <w:keepLines w:val="0"/>
        <w:widowControl w:val="0"/>
        <w:pBdr>
          <w:top w:val="single" w:sz="4" w:space="1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Style w:val="CharStyle17"/>
          <w:b/>
          <w:bCs/>
          <w:sz w:val="26"/>
          <w:szCs w:val="26"/>
        </w:rPr>
        <w:t>Výdaje</w:t>
      </w:r>
    </w:p>
    <w:tbl>
      <w:tblPr>
        <w:tblOverlap w:val="never"/>
        <w:jc w:val="center"/>
        <w:tblLayout w:type="fixed"/>
      </w:tblPr>
      <w:tblGrid>
        <w:gridCol w:w="1872"/>
        <w:gridCol w:w="3802"/>
        <w:gridCol w:w="1382"/>
        <w:gridCol w:w="1166"/>
        <w:gridCol w:w="2899"/>
      </w:tblGrid>
      <w:tr>
        <w:trPr>
          <w:trHeight w:val="3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Par Pol org1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org2 N+Z+Uz ZJ MU Původní hodnota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Změna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Po změně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Název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3722 5169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106 000,00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70 000,00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176 000,00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Nákup ostatních služeb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Celkem za Par: 3722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106 000,00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70 000,00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176 000,00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Sběr a svoz komunálních odpadů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6114 5021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3144" w:val="left"/>
              </w:tabs>
              <w:bidi w:val="0"/>
              <w:spacing w:before="0" w:after="0" w:line="240" w:lineRule="auto"/>
              <w:ind w:left="0" w:right="0" w:firstLine="60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98071</w:t>
              <w:tab/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10 000,00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10 000,00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sz w:val="15"/>
                <w:szCs w:val="15"/>
              </w:rPr>
              <w:t>Ostatní osobní výdaje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Celkem za Par: 6114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4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10 000,00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10 000,00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Volby do Parlamentu ČR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Výdaje celkem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40" w:right="0" w:firstLine="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106 000,00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80 000,00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Style w:val="CharStyle11"/>
                <w:b/>
                <w:bCs/>
                <w:sz w:val="15"/>
                <w:szCs w:val="15"/>
              </w:rPr>
              <w:t>186 000,00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5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6"/>
          <w:szCs w:val="26"/>
        </w:rPr>
      </w:pPr>
      <w:r>
        <w:rPr>
          <w:rStyle w:val="CharStyle17"/>
          <w:b/>
          <w:bCs/>
          <w:sz w:val="26"/>
          <w:szCs w:val="26"/>
        </w:rPr>
        <w:t>Změna závazných ukazatelů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Style w:val="CharStyle17"/>
          <w:b/>
          <w:bCs/>
          <w:sz w:val="26"/>
          <w:szCs w:val="26"/>
        </w:rPr>
        <w:t>Příjmy</w:t>
      </w:r>
    </w:p>
    <w:tbl>
      <w:tblPr>
        <w:tblOverlap w:val="never"/>
        <w:jc w:val="center"/>
        <w:tblLayout w:type="fixed"/>
      </w:tblPr>
      <w:tblGrid>
        <w:gridCol w:w="1805"/>
        <w:gridCol w:w="408"/>
        <w:gridCol w:w="696"/>
        <w:gridCol w:w="701"/>
        <w:gridCol w:w="854"/>
        <w:gridCol w:w="1584"/>
        <w:gridCol w:w="1402"/>
        <w:gridCol w:w="3672"/>
      </w:tblGrid>
      <w:tr>
        <w:trPr>
          <w:trHeight w:val="38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Par Pol Nst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Zdr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Uz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org1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org2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Původní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Změna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Po změně Název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1"/>
                <w:b/>
                <w:bCs/>
              </w:rPr>
              <w:t>0000 XXXX 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b/>
                <w:bCs/>
              </w:rPr>
              <w:t>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2 915 000,00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  <w:b/>
                <w:bCs/>
              </w:rPr>
              <w:t>80 000,00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  <w:b/>
                <w:bCs/>
              </w:rPr>
              <w:t>2 995 000,00 Bez paragrafu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b/>
                <w:bCs/>
              </w:rPr>
              <w:t>Příjmy celkem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1"/>
                <w:b/>
                <w:bCs/>
              </w:rPr>
              <w:t>2 915 000,00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  <w:b/>
                <w:bCs/>
              </w:rPr>
              <w:t>80 000,00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11"/>
                <w:b/>
                <w:bCs/>
              </w:rPr>
              <w:t>2 995 000,00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rStyle w:val="CharStyle11"/>
                <w:b/>
                <w:bCs/>
                <w:sz w:val="26"/>
                <w:szCs w:val="26"/>
              </w:rPr>
              <w:t>Výdaje</w:t>
            </w:r>
          </w:p>
        </w:tc>
        <w:tc>
          <w:tcPr>
            <w:gridSpan w:val="7"/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Par Pol Nst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Zdr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Uz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org1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rStyle w:val="CharStyle11"/>
                <w:b/>
                <w:bCs/>
                <w:i/>
                <w:iCs/>
                <w:sz w:val="16"/>
                <w:szCs w:val="16"/>
              </w:rPr>
              <w:t>org2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Původní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Změna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1"/>
                <w:b/>
                <w:bCs/>
                <w:i/>
                <w:iCs/>
              </w:rPr>
              <w:t>Po změně Název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1"/>
                <w:b/>
                <w:bCs/>
              </w:rPr>
              <w:t>3722 XXXX 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b/>
                <w:bCs/>
              </w:rPr>
              <w:t>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XXXXX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106 000,00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  <w:b/>
                <w:bCs/>
              </w:rPr>
              <w:t>70 000,00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1"/>
                <w:b/>
                <w:bCs/>
              </w:rPr>
              <w:t>176 000,00 Sběr a svoz komunálních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1"/>
                <w:b/>
                <w:bCs/>
              </w:rPr>
              <w:t>6114 XXXX XXX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b/>
                <w:bCs/>
              </w:rPr>
              <w:t>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XXXXX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b/>
                <w:bCs/>
              </w:rPr>
              <w:t>3 000,00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  <w:b/>
                <w:bCs/>
              </w:rPr>
              <w:t>10 000,00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rStyle w:val="CharStyle11"/>
                <w:b/>
                <w:bCs/>
              </w:rPr>
              <w:t>13 000,00 Volby do Parlamentu ČR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b/>
                <w:bCs/>
              </w:rPr>
              <w:t>Výdaje celkem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109 000,00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rStyle w:val="CharStyle11"/>
                <w:b/>
                <w:bCs/>
              </w:rPr>
              <w:t>80 000,00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Style w:val="CharStyle11"/>
                <w:b/>
                <w:bCs/>
              </w:rPr>
              <w:t>189 000,00</w:t>
            </w:r>
          </w:p>
        </w:tc>
      </w:tr>
    </w:tbl>
    <w:p>
      <w:pPr>
        <w:widowControl w:val="0"/>
        <w:spacing w:after="119"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left"/>
      </w:pPr>
      <w:r>
        <w:rPr>
          <w:rStyle w:val="CharStyle17"/>
          <w:b/>
          <w:bCs/>
        </w:rPr>
        <w:t>Důvodová zpráva k rozpočtovému opatření č. 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V souladu s ustanovením § 16 zákona č.250/2000 Sb., o rozpočtových pravidlech územních rozpočtů dojde k rozpočtovému opatření v případě změn rozpočtových prostředků na závazných ukazatelích (např. změna objemu nebo přesuny mezi ukazateli).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  <w:b/>
          <w:bCs/>
        </w:rPr>
        <w:t>Zastupitelstvu bylo dáno na vědomí na nejbližším zasedání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Zpracoval: Marie Vinklerová dne: 01.10.2025</w:t>
      </w:r>
    </w:p>
    <w:sectPr>
      <w:footnotePr>
        <w:pos w:val="pageBottom"/>
        <w:numFmt w:val="decimal"/>
        <w:numRestart w:val="continuous"/>
      </w:footnotePr>
      <w:pgSz w:w="11900" w:h="16840"/>
      <w:pgMar w:top="385" w:right="390" w:bottom="759" w:left="38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DejaVu Sans" w:eastAsia="DejaVu Sans" w:hAnsi="DejaVu Sans" w:cs="DejaVu San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itulek tabulky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1">
    <w:name w:val="Jiné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">
    <w:name w:val="Základní text (2)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auto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auto"/>
      <w:spacing w:after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0">
    <w:name w:val="Jiné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16">
    <w:name w:val="Základní text (2)"/>
    <w:basedOn w:val="Normal"/>
    <w:link w:val="CharStyle17"/>
    <w:pPr>
      <w:widowControl w:val="0"/>
      <w:shd w:val="clear" w:color="auto" w:fill="auto"/>
      <w:spacing w:after="10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